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firstLine="620" w:firstLineChars="200"/>
        <w:jc w:val="both"/>
        <w:textAlignment w:val="auto"/>
        <w:outlineLvl w:val="2"/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  <w:t>附表 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2022年度共同富裕十大关键性抓手</w:t>
      </w:r>
    </w:p>
    <w:bookmarkEnd w:id="0"/>
    <w:tbl>
      <w:tblPr>
        <w:tblStyle w:val="6"/>
        <w:tblW w:w="139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77"/>
        <w:gridCol w:w="5717"/>
        <w:gridCol w:w="5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6" w:type="dxa"/>
            <w:noWrap w:val="0"/>
            <w:vAlign w:val="top"/>
          </w:tcPr>
          <w:p>
            <w:pPr>
              <w:pStyle w:val="8"/>
              <w:spacing w:before="67"/>
              <w:ind w:left="17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77" w:type="dxa"/>
            <w:noWrap w:val="0"/>
            <w:vAlign w:val="top"/>
          </w:tcPr>
          <w:p>
            <w:pPr>
              <w:pStyle w:val="8"/>
              <w:spacing w:before="6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重点领域</w:t>
            </w:r>
          </w:p>
        </w:tc>
        <w:tc>
          <w:tcPr>
            <w:tcW w:w="57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具体工作抓手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7"/>
              <w:ind w:left="2129" w:right="212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pStyle w:val="8"/>
              <w:spacing w:before="1"/>
              <w:ind w:left="6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扎实推动高质量发展建设共同富裕先行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县</w:t>
            </w:r>
          </w:p>
        </w:tc>
        <w:tc>
          <w:tcPr>
            <w:tcW w:w="5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开展“三提三争”立功竞赛活动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县提争办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/>
        </w:tc>
        <w:tc>
          <w:tcPr>
            <w:tcW w:w="1977" w:type="dxa"/>
            <w:vMerge w:val="continue"/>
            <w:noWrap w:val="0"/>
            <w:vAlign w:val="center"/>
          </w:tcPr>
          <w:p/>
        </w:tc>
        <w:tc>
          <w:tcPr>
            <w:tcW w:w="5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全面实施“三十”工程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县共富办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pStyle w:val="8"/>
              <w:spacing w:before="1"/>
              <w:ind w:left="6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pStyle w:val="8"/>
              <w:spacing w:before="1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230" w:lineRule="auto"/>
              <w:ind w:left="171" w:right="16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工业强县产业</w:t>
            </w:r>
          </w:p>
          <w:p>
            <w:pPr>
              <w:pStyle w:val="8"/>
              <w:spacing w:line="230" w:lineRule="auto"/>
              <w:ind w:left="171" w:right="16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升级行动</w:t>
            </w:r>
          </w:p>
        </w:tc>
        <w:tc>
          <w:tcPr>
            <w:tcW w:w="5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中国民营经济示范城市创建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统战部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县工商联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县金融中心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充分激发市场主体活力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深入实施民营企业家素质提升工程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县工商联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县委统战部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畅通金融活水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县金融中心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人行三门支行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台州银保监三门分局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深入推进营商环境“10+N”便利化行动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县委改革办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县委政法委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县商务局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县自然资源规划局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县综合执法局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县行政服务中心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县税务局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县法院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县供电局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人行三门支行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深化“亩均论英雄”改革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县自然资源规划局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8"/>
              <w:ind w:left="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pStyle w:val="8"/>
              <w:ind w:left="27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全面推进国家创新型城市建设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加强高层次人才引进和培育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县委组织部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县人力社保局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实施青年英才聚三门计划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县人力社保局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团县委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加快制造业高质量发展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县科技局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县商务局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县自然资源规划局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创新打造服务业集聚平台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8"/>
              <w:spacing w:before="1"/>
              <w:ind w:left="6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pStyle w:val="8"/>
              <w:spacing w:before="1"/>
              <w:ind w:left="27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大力开展“三招三引”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县投资促进中心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深化全国质量强市示范城市建设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4+3+X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”产业体系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“小微+科创+知识产权”小微融资新模式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湾区开放开发行动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积极融入长三角一体化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教育局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建设一批高质量一体化发展深度融合示范区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县经济开发区管委会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推进自贸试验区联动区建设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大力发展临港产业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县自然资源规划局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大力推动山海协作工程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县经信局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县自然资源规划局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县投资促进中心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扩大有效投资新机制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完善综合交通网络体系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县交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1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97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城乡区域协调发展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行动</w:t>
            </w:r>
          </w:p>
        </w:tc>
        <w:tc>
          <w:tcPr>
            <w:tcW w:w="5717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全面推进“二次城市化”</w:t>
            </w:r>
          </w:p>
        </w:tc>
        <w:tc>
          <w:tcPr>
            <w:tcW w:w="5848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县自然资源规划局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动态升级、高品质建设市区十大重点区块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县自然资源规划局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培育新型消费示范城市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县商务局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实施乡村商贸振兴“十百千”计划，大力发展农村电商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实施高标准农田建设工程、优质粮食工程、现代种业发展工程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推动乡村产业高质量发展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实施综合立体水网建设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推动全域“四好农村路”示范建设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推进快递“两进一出”、“快递兴农”行动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大力推进城乡水务一体化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县环境有限公司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深化城市综合治堵工程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县治堵办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县公安局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县综合执法局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深入实施“十镇样板、百镇美丽”工程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文广旅体局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全面深化新型居住证制度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县公安局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县教育局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县人力社保局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全面推进未来社区试点建设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文广旅体局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县自然资源规划局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县大数据发展中心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加快推进城镇老旧小区改造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全域推进乡村新社区建设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深化新时代乡村集成改革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加快推进强村富民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深入实施先富带后富“三同步”行动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县医保局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县教育局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实施“新乡贤带富”工程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县委统战部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县工商联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大都市区建设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大通道建设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县发展改革局、县交通运输局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党建联盟引领共同富裕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对口工作升级版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十村示范百村整治工程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农业双强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小海鲜种业硅谷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居民收入和中等收入群体双倍增行动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扩中提低行动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县发展改革局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县人力社保局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最低工资标准与经济增长、社会平均工资增长联动机制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县人力社保局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健全就业服务体系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县人力社保局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完善大学毕业生、退役军人、转产转业渔民和农民工等重点群体就业支持体系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县人力社保局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县退役军人事务局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创新完善财政政策制度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全面打造“善行三门”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县民政局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县慈善总会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普惠性人力资本提升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县人力社保局、三门县技师学院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数字化改革创新行动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争创全省数字化改革先行县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县委改革办、县委办公室、县政府办公室、县经信局、县发展改革局、县委政法委、县大数据局、县委网信办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深入实施数字经济融合工程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七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绿水青山就是金山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银山转化行动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全力打赢生态环境治理攻坚战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市生态环境局三门分局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县水利局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县建设局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县综合执法局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全面深化生活垃圾治理行动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县垃圾分类办、县综合执法局、县农业农村局、县商务局、县建设局、县委宣传部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积极推进“山水林田湖草”生态系统修复保护和生物多样性保护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县自然资源规划局、市生态环境局三门分局、县水利局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推进循环化改造试点建设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城乡风貌整治提升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县建设局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八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碳达峰碳中和行动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制定实施碳达峰行动方案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县发展改革局、市生态环境局三门分局、县经信局、县建设局</w:t>
            </w:r>
          </w:p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县市场监管局、县科技局、县农业农村局、县交通运输局、县自然资源规划局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着力推进碳减排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市生态环境局三门分局、县发展改革局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九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建设新时代精神文明高地行动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深入实施垦荒精神立心工程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县委宣传部、县委党校、县委党史研究室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提升全国文明城市创建水平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推动公民道德建设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县委宣传部、县发展改革局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加强文化阵地建设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县委宣传部、县文广旅体局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推动现代公共文化服务体系示范区高质量发展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县委宣传部、县文广旅体局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扎实推进文化惠民工程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县委宣传部、县文广旅体局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共同富裕理论溯源工程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县委政研室、县委宣传部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讲好三门故事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宋韵留香中国古代海防文化博览园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民族团结石榴红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县委统战部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宗教中国化示范场所建设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县委统战部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诗路文化带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县文广旅体局、县发展改革局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公民法治素养提升行动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县委宣传部、县发展改革局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十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公共服务优质共享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大力发展普惠托育服务体系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康养联合体建设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县民政局、县卫生健康局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构建高质量教育体系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县教育局、三门技师学院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加大名教师名校长名班主任培育力度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深化国家城市医疗联合体建设试点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打造“15分钟医疗卫生服务圈”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建设城市社区“10分钟健身圈”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县体育事业发展中心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实施新时代工匠培育工程、“金蓝领”职业技能提升和学历提升行动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县人力社保局、县委组织部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构建多层次、多支柱、可持续的养老保险体系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县人力社保局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完善城乡居民最低生活保障制度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完善住房保障体系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全面开展城乡房屋安全隐患排查整治，动态消除D级危房安全隐患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县建设局、县农业农村局、县民政局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全面高效实施“大救助一件事”部门联办工作机制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（助共体改革）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县民政局、县医保局、县残联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推进残疾人全面发展“幸福清单”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县残联、县民政局、县财政局、县委组织部、县人力社保局、县委编办、县发展改革局、县税务局、县卫生健康局、县教育局、 县市场监管局、县建设局、县综合执法局、县文广旅体局、县体育事业发展中心、县司法局、县交通运输局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推动基本公共服务体系建设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县发展改革局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十一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县域治理现代化提升行动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全面推进全国市域社会治理现代化试点工作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县委政法委、县委组织部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创新乡村治理机制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县农业农村局、县委政法委、县委组织部、县民政局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法治社会建设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创建国家食品安全示范城市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完善立体化、法治化、专业化、智能化的社会治安防控体系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完善公共安全综合保险工作体系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县委政法委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加快构建“大安全、大应急、大减灾”体系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县应急管理局、县气象局、县水利局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“十县争创、百乡晋位、千村过硬”工程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ar-SA"/>
              </w:rPr>
              <w:t>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大综合一体化行政执法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县综合行政执法局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县乡一体条抓块统</w:t>
            </w:r>
          </w:p>
        </w:tc>
        <w:tc>
          <w:tcPr>
            <w:tcW w:w="5848" w:type="dxa"/>
            <w:noWrap w:val="0"/>
            <w:vAlign w:val="center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县委改革办、县委政法委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114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”基层社会治理体系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县委政法委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新时代枫桥经验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县委政法委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57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法院执行一件事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pStyle w:val="8"/>
              <w:spacing w:before="66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县人民法院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GYzZjNjNGNiMjU2NDhhNjFjN2E5MmUxYzlkZTUifQ=="/>
  </w:docVars>
  <w:rsids>
    <w:rsidRoot w:val="12D0648F"/>
    <w:rsid w:val="12D06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  <w:rPr>
      <w:sz w:val="24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toc 6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660" w:lineRule="exact"/>
      <w:ind w:left="1000" w:right="0" w:firstLine="200" w:firstLineChars="200"/>
      <w:jc w:val="left"/>
    </w:pPr>
    <w:rPr>
      <w:rFonts w:hint="default" w:ascii="Times New Roman" w:hAnsi="Times New Roman" w:eastAsia="仿宋_GB2312" w:cs="Times New Roman"/>
      <w:kern w:val="0"/>
      <w:sz w:val="18"/>
      <w:szCs w:val="20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2023-03-13T03:39:00Z</dcterms:created>
  <dc:creator>萝卜。</dc:creator>
  <cp:lastModifiedBy>萝卜。</cp:lastModifiedBy>
  <dcterms:modified xsi:type="dcterms:W3CDTF">2023-03-13T03:39:49Z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FBEE774999C14C248059EB5223F2CDF4</vt:lpwstr>
  </property>
</Properties>
</file>