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三门县</w:t>
      </w:r>
      <w:r>
        <w:rPr>
          <w:rFonts w:hint="eastAsia" w:ascii="仿宋_GB2312" w:hAnsi="仿宋_GB2312" w:eastAsia="仿宋_GB2312" w:cs="仿宋_GB2312"/>
          <w:sz w:val="30"/>
          <w:szCs w:val="30"/>
        </w:rPr>
        <w:t>统计局政府信息依申请公开处理流程图</w:t>
      </w:r>
    </w:p>
    <w:p>
      <w:pPr>
        <w:ind w:firstLine="6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firstLine="6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drawing>
          <wp:inline distT="0" distB="0" distL="114300" distR="114300">
            <wp:extent cx="5269230" cy="6110605"/>
            <wp:effectExtent l="0" t="0" r="7620" b="4445"/>
            <wp:docPr id="1" name="图片 1" descr="4b95cf510098496bb5dce5aae65844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b95cf510098496bb5dce5aae658440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11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D7003F"/>
    <w:rsid w:val="28D7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2021-09-24T02:31:00Z</dcterms:created>
  <dc:creator>TJJ19</dc:creator>
  <cp:lastModifiedBy>TJJ19</cp:lastModifiedBy>
  <dcterms:modified xsi:type="dcterms:W3CDTF">2021-09-24T02:31:57Z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